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media/image1.jpeg" ContentType="image/jpeg"/>
  <Override PartName="/word/media/image2.wmf" ContentType="image/x-wmf"/>
  <Override PartName="/word/embeddings/oleObject1.bin" ContentType="application/vnd.openxmlformats-officedocument.oleObjec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word/_rels/document.xml.rels" ContentType="application/vnd.openxmlformats-package.relationships+xml"/>
  <Override PartName="/customXml/item1.xml" ContentType="application/xml"/>
  <Override PartName="/customXml/itemProps3.xml" ContentType="application/vnd.openxmlformats-officedocument.customXmlProperties+xml"/>
  <Override PartName="/customXml/itemProps1.xml" ContentType="application/vnd.openxmlformats-officedocument.customXmlProperties+xml"/>
  <Override PartName="/customXml/item2.xml" ContentType="application/xml"/>
  <Override PartName="/customXml/itemProps2.xml" ContentType="application/vnd.openxmlformats-officedocument.customXmlProperties+xml"/>
  <Override PartName="/customXml/_rels/item1.xml.rels" ContentType="application/vnd.openxmlformats-package.relationships+xml"/>
  <Override PartName="/customXml/_rels/item2.xml.rels" ContentType="application/vnd.openxmlformats-package.relationships+xml"/>
  <Override PartName="/customXml/_rels/item3.xml.rels" ContentType="application/vnd.openxmlformats-package.relationships+xml"/>
  <Override PartName="/customXml/item3.xml" ContentType="application/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rPr/>
      </w:pPr>
      <w:r>
        <w:rPr/>
        <w:drawing>
          <wp:anchor behindDoc="1" distT="0" distB="0" distL="0" distR="0" simplePos="0" locked="0" layoutInCell="1" allowOverlap="1" relativeHeight="2">
            <wp:simplePos x="0" y="0"/>
            <wp:positionH relativeFrom="column">
              <wp:posOffset>1428750</wp:posOffset>
            </wp:positionH>
            <wp:positionV relativeFrom="paragraph">
              <wp:posOffset>200025</wp:posOffset>
            </wp:positionV>
            <wp:extent cx="3395980" cy="234315"/>
            <wp:effectExtent l="0" t="0" r="0" b="0"/>
            <wp:wrapNone/>
            <wp:docPr id="1" name="Obraz 1" descr="kol po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 descr="kol pol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5980" cy="234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object>
          <v:shapetype id="_x0000_tole_rId3" coordsize="21600,21600" o:spt="ole_rId3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" type="_x0000_tole_rId3" style="width:49.5pt;height:63pt;mso-wrap-distance-right:0pt" filled="f" o:ole="">
            <v:imagedata r:id="rId4" o:title=""/>
          </v:shape>
          <o:OLEObject Type="Embed" ProgID="CorelDraw.Graphic.15" ShapeID="ole_rId3" DrawAspect="Content" ObjectID="_308085630" r:id="rId3"/>
        </w:object>
      </w:r>
    </w:p>
    <w:p>
      <w:pPr>
        <w:pStyle w:val="Normal"/>
        <w:spacing w:lineRule="auto" w:line="276"/>
        <w:jc w:val="center"/>
        <w:rPr>
          <w:rFonts w:eastAsia="Calibri"/>
          <w:b/>
          <w:spacing w:val="30"/>
          <w:lang w:eastAsia="en-US"/>
        </w:rPr>
      </w:pPr>
      <w:r>
        <w:rPr>
          <w:rFonts w:eastAsia="Calibri"/>
          <w:b/>
          <w:spacing w:val="30"/>
          <w:lang w:eastAsia="en-US"/>
        </w:rPr>
        <w:t>SYLABUS ZAJĘĆ</w:t>
      </w:r>
    </w:p>
    <w:p>
      <w:pPr>
        <w:pStyle w:val="Normal"/>
        <w:spacing w:lineRule="auto" w:line="276"/>
        <w:jc w:val="center"/>
        <w:rPr>
          <w:rFonts w:eastAsia="Calibri"/>
          <w:b/>
          <w:spacing w:val="30"/>
          <w:lang w:eastAsia="en-US"/>
        </w:rPr>
      </w:pPr>
      <w:r>
        <w:rPr>
          <w:rFonts w:eastAsia="Calibri"/>
          <w:b/>
          <w:spacing w:val="30"/>
          <w:lang w:eastAsia="en-US"/>
        </w:rPr>
        <w:t>Informacje ogólne</w:t>
      </w:r>
    </w:p>
    <w:p>
      <w:pPr>
        <w:pStyle w:val="Normal"/>
        <w:spacing w:lineRule="auto" w:line="276"/>
        <w:rPr>
          <w:rFonts w:eastAsia="Calibri"/>
          <w:b/>
          <w:spacing w:val="30"/>
          <w:lang w:eastAsia="en-US"/>
        </w:rPr>
      </w:pPr>
      <w:r>
        <w:rPr>
          <w:rFonts w:eastAsia="Calibri"/>
          <w:b/>
          <w:spacing w:val="30"/>
          <w:lang w:eastAsia="en-US"/>
        </w:rPr>
      </w:r>
    </w:p>
    <w:tbl>
      <w:tblPr>
        <w:tblW w:w="9356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4720"/>
        <w:gridCol w:w="4635"/>
      </w:tblGrid>
      <w:tr>
        <w:trPr>
          <w:trHeight w:val="397" w:hRule="atLeast"/>
        </w:trPr>
        <w:tc>
          <w:tcPr>
            <w:tcW w:w="93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Nazwa ZAJĘĆ: </w:t>
            </w:r>
            <w:r>
              <w:rPr>
                <w:rFonts w:eastAsia="Calibri"/>
                <w:b/>
                <w:bCs/>
                <w:i/>
                <w:iCs/>
                <w:lang w:eastAsia="en-US"/>
              </w:rPr>
              <w:t>Komunikacja i współpraca z klientem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Rodzaj ZAJĘĆ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b/>
                <w:bCs/>
                <w:i/>
                <w:iCs/>
                <w:lang w:eastAsia="en-US"/>
              </w:rPr>
              <w:t>Obieralny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Wydział PUM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Wydział Nauk o Zdrowiu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Kierunek studiów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Kosmetologia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Specjalność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-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Poziom studiów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 w:val="false"/>
                <w:bCs w:val="false"/>
                <w:i/>
                <w:i/>
                <w:iCs/>
                <w:lang w:eastAsia="en-US"/>
              </w:rPr>
            </w:pP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>jednolite magisterskie □</w:t>
            </w:r>
          </w:p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b/>
                <w:bCs/>
                <w:i/>
                <w:iCs/>
                <w:lang w:eastAsia="en-US"/>
              </w:rPr>
              <w:t>I stopnia</w:t>
            </w:r>
            <w:r>
              <w:rPr>
                <w:rFonts w:eastAsia="Calibri"/>
                <w:b/>
                <w:bCs/>
                <w:i/>
                <w:iCs/>
                <w:sz w:val="28"/>
                <w:szCs w:val="28"/>
                <w:lang w:eastAsia="en-US"/>
              </w:rPr>
              <w:t xml:space="preserve"> </w:t>
            </w:r>
            <w:r>
              <w:rPr>
                <w:rFonts w:eastAsia="Calibri"/>
                <w:b/>
                <w:bCs/>
                <w:i/>
                <w:iCs/>
                <w:lang w:eastAsia="en-US"/>
              </w:rPr>
              <w:t>X</w:t>
            </w:r>
          </w:p>
          <w:p>
            <w:pPr>
              <w:pStyle w:val="Normal"/>
              <w:rPr>
                <w:rFonts w:eastAsia="Calibri"/>
                <w:b w:val="false"/>
                <w:bCs w:val="false"/>
                <w:i/>
                <w:i/>
                <w:iCs/>
                <w:lang w:eastAsia="en-US"/>
              </w:rPr>
            </w:pP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>II stopnia □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Forma studiów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b/>
                <w:bCs/>
                <w:i/>
                <w:lang w:eastAsia="en-US"/>
              </w:rPr>
              <w:t>stacjonarne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Rok studiów /semestr studiów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I rok, semestr letni 202</w:t>
            </w:r>
            <w:r>
              <w:rPr>
                <w:rFonts w:eastAsia="Calibri"/>
                <w:i/>
                <w:iCs/>
                <w:lang w:eastAsia="en-US"/>
              </w:rPr>
              <w:t>5</w:t>
            </w:r>
            <w:r>
              <w:rPr>
                <w:rFonts w:eastAsia="Calibri"/>
                <w:i/>
                <w:iCs/>
                <w:lang w:eastAsia="en-US"/>
              </w:rPr>
              <w:t>/202</w:t>
            </w:r>
            <w:r>
              <w:rPr>
                <w:rFonts w:eastAsia="Calibri"/>
                <w:i/>
                <w:iCs/>
                <w:lang w:eastAsia="en-US"/>
              </w:rPr>
              <w:t>6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Liczba przypisanych punktów ECTS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2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Formy prowadzenia zajęć (liczba godzin)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E-learning – 10h</w:t>
            </w:r>
          </w:p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Seminaria – 10h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Sposoby weryfikacji i oceny efektów uczenia się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- zaliczenie na ocenę:</w:t>
            </w:r>
          </w:p>
          <w:p>
            <w:pPr>
              <w:pStyle w:val="Normal"/>
              <w:rPr>
                <w:rFonts w:eastAsia="Calibri"/>
                <w:bCs/>
                <w:i/>
                <w:i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□</w:t>
            </w:r>
            <w:r>
              <w:rPr/>
              <w:tab/>
            </w:r>
            <w:r>
              <w:rPr>
                <w:rFonts w:eastAsia="Calibri"/>
                <w:i/>
                <w:iCs/>
                <w:lang w:eastAsia="en-US"/>
              </w:rPr>
              <w:t>opisowe</w:t>
            </w:r>
          </w:p>
          <w:p>
            <w:pPr>
              <w:pStyle w:val="Normal"/>
              <w:rPr>
                <w:rFonts w:eastAsia="Calibri"/>
                <w:b w:val="false"/>
                <w:bCs w:val="false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□</w:t>
            </w: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 xml:space="preserve">         </w:t>
            </w: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>testowe</w:t>
            </w:r>
          </w:p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b/>
                <w:bCs/>
                <w:i/>
                <w:iCs/>
                <w:lang w:eastAsia="en-US"/>
              </w:rPr>
              <w:t>X</w:t>
            </w:r>
            <w:r>
              <w:rPr/>
              <w:tab/>
            </w:r>
            <w:r>
              <w:rPr>
                <w:rFonts w:eastAsia="Calibri"/>
                <w:b/>
                <w:bCs/>
                <w:i/>
                <w:iCs/>
                <w:lang w:eastAsia="en-US"/>
              </w:rPr>
              <w:t>praktyczne</w:t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□</w:t>
            </w:r>
            <w:r>
              <w:rPr>
                <w:rFonts w:eastAsia="Calibri"/>
                <w:i/>
                <w:lang w:eastAsia="en-US"/>
              </w:rPr>
              <w:tab/>
              <w:t>ustne</w:t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</w:r>
          </w:p>
          <w:p>
            <w:pPr>
              <w:pStyle w:val="Normal"/>
              <w:numPr>
                <w:ilvl w:val="0"/>
                <w:numId w:val="5"/>
              </w:numPr>
              <w:ind w:hanging="360" w:left="347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zaliczenie bez oceny</w:t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- egzamin końcowy:</w:t>
            </w:r>
          </w:p>
          <w:p>
            <w:pPr>
              <w:pStyle w:val="Normal"/>
              <w:numPr>
                <w:ilvl w:val="0"/>
                <w:numId w:val="4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opisowy</w:t>
            </w:r>
          </w:p>
          <w:p>
            <w:pPr>
              <w:pStyle w:val="Normal"/>
              <w:numPr>
                <w:ilvl w:val="0"/>
                <w:numId w:val="4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testowy</w:t>
            </w:r>
          </w:p>
          <w:p>
            <w:pPr>
              <w:pStyle w:val="Normal"/>
              <w:numPr>
                <w:ilvl w:val="0"/>
                <w:numId w:val="4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praktyczny</w:t>
            </w:r>
          </w:p>
          <w:p>
            <w:pPr>
              <w:pStyle w:val="Normal"/>
              <w:numPr>
                <w:ilvl w:val="0"/>
                <w:numId w:val="4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ustny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Kierownik jednostki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Cs/>
                <w:lang w:eastAsia="en-US"/>
              </w:rPr>
            </w:pPr>
            <w:r>
              <w:rPr>
                <w:rFonts w:eastAsia="Calibri"/>
                <w:iCs/>
                <w:lang w:eastAsia="en-US"/>
              </w:rPr>
              <w:t>Prof. dr hab. n. zdr. Beata Karakiewicz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Adiunkt dydaktyczny lub osoba odpowiedzialna za przedmiot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mgr Krzysztof Dąbrowski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Nazwa i dane kontaktowe jednostki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Web"/>
              <w:spacing w:beforeAutospacing="0" w:before="0" w:afterAutospacing="0" w:after="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Katedra Medycyny Społecznej.</w:t>
            </w:r>
          </w:p>
          <w:p>
            <w:pPr>
              <w:pStyle w:val="NormalWeb"/>
              <w:spacing w:beforeAutospacing="0" w:before="0" w:afterAutospacing="0" w:after="0"/>
              <w:rPr>
                <w:rFonts w:eastAsia="Calibri"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Zakład Medycyny Społecznej i Zdrowia Publicznego; Pomorski Uniwersytet Medyczny w Szczecinie,</w:t>
            </w:r>
            <w:r>
              <w:rPr>
                <w:rFonts w:eastAsia="Calibri"/>
                <w:lang w:eastAsia="en-US"/>
              </w:rPr>
              <w:t xml:space="preserve"> </w:t>
            </w:r>
            <w:r>
              <w:rPr/>
              <w:br/>
            </w:r>
            <w:r>
              <w:rPr>
                <w:rFonts w:eastAsia="Calibri"/>
                <w:lang w:eastAsia="en-US"/>
              </w:rPr>
              <w:t>ul. Żołnierska 48, pok. 303,</w:t>
            </w:r>
          </w:p>
          <w:p>
            <w:pPr>
              <w:pStyle w:val="NormalWeb"/>
              <w:spacing w:beforeAutospacing="0" w:before="0" w:afterAutospacing="0" w:after="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Cs/>
                <w:lang w:eastAsia="en-US"/>
              </w:rPr>
              <w:t>71-210 Szczecin. tel. +48 91 48 00 920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Strona internetowa jednostki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https://www.pum.edu.pl/studenci/informacje_z_jednostek/wnoz/katedra_medycyny_spolecznej/zaklad_medycyny_spolecznej_i_zdrowia_publicznego/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Język prowadzenia zajęć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tabs>
                <w:tab w:val="clear" w:pos="708"/>
                <w:tab w:val="left" w:pos="4073" w:leader="none"/>
              </w:tabs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b/>
                <w:i/>
                <w:lang w:eastAsia="en-US"/>
              </w:rPr>
              <w:t>polski</w:t>
            </w:r>
          </w:p>
        </w:tc>
      </w:tr>
    </w:tbl>
    <w:p>
      <w:pPr>
        <w:pStyle w:val="Normal"/>
        <w:spacing w:lineRule="auto" w:line="276" w:before="0" w:after="200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</w:r>
    </w:p>
    <w:p>
      <w:pPr>
        <w:pStyle w:val="Normal"/>
        <w:spacing w:lineRule="auto" w:line="276" w:before="0" w:after="200"/>
        <w:rPr>
          <w:rFonts w:eastAsia="Calibri"/>
          <w:b/>
          <w:lang w:eastAsia="en-US"/>
        </w:rPr>
      </w:pPr>
      <w:r>
        <w:rPr>
          <w:rFonts w:eastAsia="Calibri"/>
          <w:b/>
          <w:bCs/>
          <w:lang w:eastAsia="en-US"/>
        </w:rPr>
        <w:t xml:space="preserve">     </w:t>
      </w:r>
      <w:r>
        <w:rPr>
          <w:rFonts w:eastAsia="Calibri"/>
          <w:b/>
          <w:bCs/>
          <w:lang w:eastAsia="en-US"/>
        </w:rPr>
        <w:t>*zaznaczyć odpowiednio, zmieniając □ na X</w:t>
      </w:r>
    </w:p>
    <w:p>
      <w:pPr>
        <w:pStyle w:val="Normal"/>
        <w:spacing w:lineRule="auto" w:line="276" w:before="0" w:after="200"/>
        <w:jc w:val="center"/>
        <w:rPr>
          <w:rFonts w:eastAsia="Calibri"/>
          <w:b/>
          <w:bCs/>
          <w:lang w:eastAsia="en-US"/>
        </w:rPr>
      </w:pPr>
      <w:r>
        <w:rPr>
          <w:rFonts w:eastAsia="Calibri"/>
          <w:b/>
          <w:bCs/>
          <w:lang w:eastAsia="en-US"/>
        </w:rPr>
        <w:t>Informacje szczegółowe</w:t>
      </w:r>
    </w:p>
    <w:tbl>
      <w:tblPr>
        <w:tblW w:w="9552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2394"/>
        <w:gridCol w:w="1886"/>
        <w:gridCol w:w="5272"/>
      </w:tblGrid>
      <w:tr>
        <w:trPr>
          <w:trHeight w:val="397" w:hRule="atLeast"/>
        </w:trPr>
        <w:tc>
          <w:tcPr>
            <w:tcW w:w="42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Cele zajęć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i w:val="false"/>
                <w:i w:val="false"/>
                <w:iCs w:val="false"/>
              </w:rPr>
            </w:pPr>
            <w:r>
              <w:rPr/>
              <w:t xml:space="preserve">Celem przedmiotu jest uzyskanie wiedzy i umiejętności z zakresu komunikacji społecznej i marketingowej w kontekście tworzenia i utrzymywania relacji z klientami. Szczególną uwagę poświęcono teoretycznym i praktycznym zasadom tworzenia kompleksowej strategii </w:t>
            </w:r>
            <w:r>
              <w:rPr>
                <w:i/>
                <w:iCs/>
              </w:rPr>
              <w:t>public relations</w:t>
            </w:r>
            <w:r>
              <w:rPr>
                <w:i w:val="false"/>
                <w:iCs w:val="false"/>
              </w:rPr>
              <w:t xml:space="preserve"> w przedsiębiorstwach.</w:t>
            </w:r>
          </w:p>
        </w:tc>
      </w:tr>
      <w:tr>
        <w:trPr>
          <w:trHeight w:val="397" w:hRule="atLeast"/>
        </w:trPr>
        <w:tc>
          <w:tcPr>
            <w:tcW w:w="239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highlight w:val="yellow"/>
                <w:lang w:eastAsia="en-US"/>
              </w:rPr>
            </w:pPr>
            <w:r>
              <w:rPr>
                <w:rFonts w:eastAsia="Calibri"/>
                <w:lang w:eastAsia="en-US"/>
              </w:rPr>
              <w:t>Wymagania wstępne w zakresie</w:t>
            </w:r>
          </w:p>
        </w:tc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Wiedzy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/>
            </w:pPr>
            <w:r>
              <w:rPr/>
              <w:t>Wiedza z zakresu nauk społecznych - kompetencje bazowe na poziomie szkoły średniej.</w:t>
            </w:r>
          </w:p>
        </w:tc>
      </w:tr>
      <w:tr>
        <w:trPr>
          <w:trHeight w:val="397" w:hRule="atLeast"/>
        </w:trPr>
        <w:tc>
          <w:tcPr>
            <w:tcW w:w="2394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Umiejętności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Korzystanie z aktualnej wiedzy, organizowanie pracy własnej, twórcze wykorzystanie wiedzy pozyskanej w trakcie zajęć.</w:t>
            </w:r>
          </w:p>
        </w:tc>
      </w:tr>
      <w:tr>
        <w:trPr>
          <w:trHeight w:val="397" w:hRule="atLeast"/>
        </w:trPr>
        <w:tc>
          <w:tcPr>
            <w:tcW w:w="2394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Kompetencji społecznych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Identyfikowanie i przedstawianie własnych doświadczeń, praca w grupie.</w:t>
            </w:r>
          </w:p>
        </w:tc>
      </w:tr>
    </w:tbl>
    <w:p>
      <w:pPr>
        <w:pStyle w:val="Normal"/>
        <w:spacing w:lineRule="auto" w:line="276" w:before="0" w:after="200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tbl>
      <w:tblPr>
        <w:tblW w:w="10065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778"/>
        <w:gridCol w:w="2846"/>
        <w:gridCol w:w="472"/>
        <w:gridCol w:w="115"/>
        <w:gridCol w:w="612"/>
        <w:gridCol w:w="612"/>
        <w:gridCol w:w="611"/>
        <w:gridCol w:w="739"/>
        <w:gridCol w:w="485"/>
        <w:gridCol w:w="611"/>
        <w:gridCol w:w="616"/>
        <w:gridCol w:w="561"/>
        <w:gridCol w:w="5"/>
      </w:tblGrid>
      <w:tr>
        <w:trPr>
          <w:trHeight w:val="400" w:hRule="atLeast"/>
        </w:trPr>
        <w:tc>
          <w:tcPr>
            <w:tcW w:w="10058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Batang"/>
                <w:b/>
              </w:rPr>
              <w:t>EFEKTY UCZENIA SIĘ</w:t>
            </w:r>
          </w:p>
        </w:tc>
        <w:tc>
          <w:tcPr>
            <w:tcW w:w="5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563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lp. efektu uczenia się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Student, który zaliczył ZAJĘCIA</w:t>
            </w:r>
          </w:p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wie/umie/potrafi:</w:t>
            </w:r>
          </w:p>
        </w:tc>
        <w:tc>
          <w:tcPr>
            <w:tcW w:w="2574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SYMBOL</w:t>
            </w:r>
          </w:p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(odniesienie do)</w:t>
            </w:r>
          </w:p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efektów uczenia się dla kierunku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Sposób weryfikacji efektów UCZENIA SIĘ*</w:t>
            </w:r>
          </w:p>
          <w:p>
            <w:pPr>
              <w:pStyle w:val="Normal"/>
              <w:spacing w:lineRule="auto" w:line="276"/>
              <w:jc w:val="center"/>
              <w:rPr>
                <w:b/>
                <w:strike/>
              </w:rPr>
            </w:pPr>
            <w:r>
              <w:rPr>
                <w:b/>
                <w:strike/>
              </w:rPr>
            </w:r>
          </w:p>
        </w:tc>
        <w:tc>
          <w:tcPr>
            <w:tcW w:w="5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86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spacing w:lineRule="auto" w:line="240" w:beforeAutospacing="0" w:before="240" w:afterAutospacing="0" w:after="0"/>
              <w:jc w:val="left"/>
              <w:rPr/>
            </w:pPr>
            <w:r>
              <w:rPr>
                <w:rFonts w:eastAsia="Times New Roman" w:cs="Times New Roman"/>
                <w:sz w:val="22"/>
                <w:szCs w:val="22"/>
                <w:lang w:val="pl-PL"/>
              </w:rPr>
              <w:t>Rozpoznawać podstawy życia społecznego i jego uwarunkowania, czynniki socjogenne kształtujące osobowość społeczną w kontekście współpracy z klientem.</w:t>
            </w:r>
          </w:p>
        </w:tc>
        <w:tc>
          <w:tcPr>
            <w:tcW w:w="2574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K_W47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S, PS</w:t>
            </w:r>
          </w:p>
        </w:tc>
        <w:tc>
          <w:tcPr>
            <w:tcW w:w="5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86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160"/>
              <w:ind w:left="0" w:right="0"/>
              <w:jc w:val="left"/>
              <w:rPr/>
            </w:pPr>
            <w:r>
              <w:rPr>
                <w:rFonts w:eastAsia="Times New Roman" w:cs="Times New Roman"/>
                <w:sz w:val="22"/>
                <w:szCs w:val="22"/>
                <w:lang w:val="pl-PL"/>
              </w:rPr>
              <w:t>Zastosować podstawowe reguły poprawnego rozumowania.</w:t>
            </w:r>
          </w:p>
        </w:tc>
        <w:tc>
          <w:tcPr>
            <w:tcW w:w="2574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K_U63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S, PS</w:t>
            </w:r>
          </w:p>
        </w:tc>
        <w:tc>
          <w:tcPr>
            <w:tcW w:w="5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/>
            </w:pPr>
            <w:r>
              <w:rPr>
                <w:rFonts w:eastAsia="Times New Roman" w:cs="Times New Roman"/>
                <w:sz w:val="22"/>
                <w:szCs w:val="22"/>
                <w:lang w:val="pl-PL"/>
              </w:rPr>
              <w:t>Pracować w zespole.</w:t>
            </w:r>
          </w:p>
        </w:tc>
        <w:tc>
          <w:tcPr>
            <w:tcW w:w="2574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K_K06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</w:t>
            </w:r>
          </w:p>
        </w:tc>
        <w:tc>
          <w:tcPr>
            <w:tcW w:w="5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K02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ascii="Times New Roman" w:hAnsi="Times New Roman" w:eastAsia="Times New Roman" w:cs="Times New Roman"/>
                <w:sz w:val="22"/>
                <w:szCs w:val="22"/>
                <w:lang w:val="pl-PL"/>
              </w:rPr>
            </w:pPr>
            <w:r>
              <w:rPr>
                <w:rFonts w:eastAsia="Times New Roman" w:cs="Times New Roman"/>
                <w:sz w:val="22"/>
                <w:szCs w:val="22"/>
                <w:lang w:val="pl-PL"/>
              </w:rPr>
              <w:t>Systematycznie wzbogacać wiedzę zawodową i kształtuje umiejętności, dążąc do profesjonalizmu rzetelnie i dokładnie wykonuje powierzone obowiązki.</w:t>
            </w:r>
          </w:p>
        </w:tc>
        <w:tc>
          <w:tcPr>
            <w:tcW w:w="2574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K_K08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S, PS</w:t>
            </w:r>
          </w:p>
        </w:tc>
        <w:tc>
          <w:tcPr>
            <w:tcW w:w="5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8" w:type="dxa"/>
            <w:gridSpan w:val="12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spacing w:lineRule="auto" w:line="276"/>
              <w:rPr>
                <w:rFonts w:eastAsia="Calibri"/>
                <w:b/>
                <w:lang w:eastAsia="en-US"/>
              </w:rPr>
            </w:pPr>
            <w:r>
              <w:rPr>
                <w:rFonts w:eastAsia="Batang"/>
                <w:b/>
              </w:rPr>
              <w:t>Tabela efektów UCZENIA SIĘ</w:t>
            </w:r>
            <w:r>
              <w:rPr>
                <w:rFonts w:eastAsia="Calibri"/>
                <w:b/>
                <w:lang w:eastAsia="en-US"/>
              </w:rPr>
              <w:t xml:space="preserve"> w odniesieniu do formy zajęć</w:t>
            </w:r>
          </w:p>
        </w:tc>
        <w:tc>
          <w:tcPr>
            <w:tcW w:w="5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23" w:hRule="atLeast"/>
          <w:cantSplit w:val="true"/>
        </w:trPr>
        <w:tc>
          <w:tcPr>
            <w:tcW w:w="1778" w:type="dxa"/>
            <w:vMerge w:val="restart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lp. efektu uczenia się</w:t>
            </w:r>
          </w:p>
        </w:tc>
        <w:tc>
          <w:tcPr>
            <w:tcW w:w="3433" w:type="dxa"/>
            <w:gridSpan w:val="3"/>
            <w:vMerge w:val="restart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Efekty uczenia się</w:t>
            </w:r>
          </w:p>
        </w:tc>
        <w:tc>
          <w:tcPr>
            <w:tcW w:w="4852" w:type="dxa"/>
            <w:gridSpan w:val="9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Forma zajęć</w:t>
            </w:r>
          </w:p>
        </w:tc>
      </w:tr>
      <w:tr>
        <w:trPr>
          <w:trHeight w:val="1561" w:hRule="atLeast"/>
          <w:cantSplit w:val="true"/>
        </w:trPr>
        <w:tc>
          <w:tcPr>
            <w:tcW w:w="1778" w:type="dxa"/>
            <w:vMerge w:val="continue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b/>
              </w:rPr>
            </w:pPr>
            <w:r>
              <w:rPr>
                <w:b/>
              </w:rPr>
            </w:r>
          </w:p>
        </w:tc>
        <w:tc>
          <w:tcPr>
            <w:tcW w:w="3433" w:type="dxa"/>
            <w:gridSpan w:val="3"/>
            <w:vMerge w:val="continue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b/>
              </w:rPr>
            </w:pPr>
            <w:r>
              <w:rPr>
                <w:b/>
              </w:rPr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Wykład</w:t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jc w:val="center"/>
              <w:rPr>
                <w:b/>
              </w:rPr>
            </w:pPr>
            <w:r>
              <w:rPr>
                <w:b/>
              </w:rPr>
              <w:t>Seminarium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jc w:val="center"/>
              <w:rPr>
                <w:rFonts w:eastAsia="Batang"/>
                <w:b/>
              </w:rPr>
            </w:pPr>
            <w:r>
              <w:rPr>
                <w:b/>
              </w:rPr>
              <w:t>Ćwiczenia</w:t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jc w:val="center"/>
              <w:rPr>
                <w:rFonts w:eastAsia="Batang"/>
                <w:b/>
              </w:rPr>
            </w:pPr>
            <w:r>
              <w:rPr>
                <w:b/>
              </w:rPr>
              <w:t>Ćwiczenia kliniczne</w:t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Symulacje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E-learning</w:t>
            </w:r>
          </w:p>
        </w:tc>
        <w:tc>
          <w:tcPr>
            <w:tcW w:w="616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PWS</w:t>
            </w:r>
          </w:p>
        </w:tc>
        <w:tc>
          <w:tcPr>
            <w:tcW w:w="566" w:type="dxa"/>
            <w:gridSpan w:val="2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</w:r>
          </w:p>
        </w:tc>
      </w:tr>
      <w:tr>
        <w:trPr>
          <w:trHeight w:val="566" w:hRule="exac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W01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K_W47</w:t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6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color="auto" w:fill="auto" w:val="clea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561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5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566" w:hRule="exac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U01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K_U66</w:t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6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color="auto" w:fill="auto" w:val="clea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561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5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K01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K_K06</w:t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rPr/>
            </w:pPr>
            <w:r>
              <w:rPr/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16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561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5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K02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K_K08</w:t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rPr/>
            </w:pPr>
            <w:r>
              <w:rPr/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  <w:t>X</w:t>
            </w:r>
          </w:p>
        </w:tc>
        <w:tc>
          <w:tcPr>
            <w:tcW w:w="616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561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5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8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TABELA TREŚCI PROGRAMOWYCH</w:t>
            </w:r>
          </w:p>
        </w:tc>
        <w:tc>
          <w:tcPr>
            <w:tcW w:w="5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Lp. treści programowej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Treści programowe</w:t>
            </w:r>
          </w:p>
        </w:tc>
        <w:tc>
          <w:tcPr>
            <w:tcW w:w="133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Liczba godzin</w:t>
            </w:r>
          </w:p>
        </w:tc>
        <w:tc>
          <w:tcPr>
            <w:tcW w:w="362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Odniesienie do efektów uczenia się do ZAJĘĆ</w:t>
            </w:r>
          </w:p>
        </w:tc>
        <w:tc>
          <w:tcPr>
            <w:tcW w:w="5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72" w:hRule="atLeast"/>
        </w:trPr>
        <w:tc>
          <w:tcPr>
            <w:tcW w:w="10058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Semestr letni</w:t>
            </w:r>
          </w:p>
        </w:tc>
        <w:tc>
          <w:tcPr>
            <w:tcW w:w="5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72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E-learning:</w:t>
            </w:r>
          </w:p>
        </w:tc>
        <w:tc>
          <w:tcPr>
            <w:tcW w:w="133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20</w:t>
            </w:r>
          </w:p>
        </w:tc>
        <w:tc>
          <w:tcPr>
            <w:tcW w:w="362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5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61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1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Czym jest, a czym nie jest public relations? Podstawowe założenia i definicje pojęcia.</w:t>
            </w:r>
          </w:p>
        </w:tc>
        <w:tc>
          <w:tcPr>
            <w:tcW w:w="133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K_W47, K_U66, K_K08</w:t>
            </w:r>
          </w:p>
        </w:tc>
        <w:tc>
          <w:tcPr>
            <w:tcW w:w="5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109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/>
            </w:pPr>
            <w:r>
              <w:rPr>
                <w:b w:val="false"/>
                <w:bCs w:val="false"/>
                <w:i/>
                <w:iCs/>
              </w:rPr>
              <w:t>Wizerunek, tożsamość i reputacja - najważniejsze cele public relations</w:t>
            </w:r>
          </w:p>
        </w:tc>
        <w:tc>
          <w:tcPr>
            <w:tcW w:w="133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5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3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spacing w:lineRule="auto" w:line="259"/>
              <w:jc w:val="left"/>
              <w:rPr>
                <w:b w:val="false"/>
                <w:bCs w:val="false"/>
                <w:i/>
                <w:i/>
                <w:iCs/>
                <w:lang w:eastAsia="en-US"/>
              </w:rPr>
            </w:pPr>
            <w:r>
              <w:rPr>
                <w:b w:val="false"/>
                <w:bCs w:val="false"/>
                <w:i/>
                <w:iCs/>
              </w:rPr>
              <w:t>Orientacja w przestrzeni komunikacyjnej – przygotowanie działań public relations.</w:t>
            </w:r>
          </w:p>
        </w:tc>
        <w:tc>
          <w:tcPr>
            <w:tcW w:w="133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5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TK_4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Planowanie strategiczne i operacyjne działań PR-owych.</w:t>
            </w:r>
          </w:p>
        </w:tc>
        <w:tc>
          <w:tcPr>
            <w:tcW w:w="133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5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5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59" w:beforeAutospacing="0" w:before="0" w:afterAutospacing="0" w:after="0"/>
              <w:jc w:val="left"/>
              <w:rPr>
                <w:b w:val="false"/>
                <w:bCs w:val="false"/>
                <w:i/>
                <w:i/>
                <w:iCs/>
              </w:rPr>
            </w:pPr>
            <w:r>
              <w:rPr>
                <w:b w:val="false"/>
                <w:bCs w:val="false"/>
                <w:i/>
                <w:iCs/>
              </w:rPr>
              <w:t>Media relations, czyli techniki dotarcia do klienta za pośrednictwem mediów.</w:t>
            </w:r>
          </w:p>
        </w:tc>
        <w:tc>
          <w:tcPr>
            <w:tcW w:w="133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5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59"/>
              <w:jc w:val="left"/>
              <w:rPr>
                <w:b/>
                <w:bCs/>
                <w:i w:val="false"/>
                <w:i w:val="false"/>
                <w:iCs w:val="false"/>
              </w:rPr>
            </w:pPr>
            <w:r>
              <w:rPr>
                <w:b/>
                <w:bCs/>
                <w:i w:val="false"/>
                <w:iCs w:val="false"/>
              </w:rPr>
              <w:t>Seminaria:</w:t>
            </w:r>
          </w:p>
        </w:tc>
        <w:tc>
          <w:tcPr>
            <w:tcW w:w="133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3623" w:type="dxa"/>
            <w:gridSpan w:val="6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K_W47, K_U66, K_K06, K_08</w:t>
            </w:r>
          </w:p>
        </w:tc>
        <w:tc>
          <w:tcPr>
            <w:tcW w:w="5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TK_1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59"/>
              <w:jc w:val="left"/>
              <w:rPr>
                <w:b w:val="false"/>
                <w:bCs w:val="false"/>
                <w:i/>
                <w:i/>
                <w:iCs/>
              </w:rPr>
            </w:pPr>
            <w:r>
              <w:rPr>
                <w:b w:val="false"/>
                <w:bCs w:val="false"/>
                <w:i/>
                <w:iCs/>
              </w:rPr>
              <w:t>Wybrane aspekty komunikacji bezpośredniej - rola sygnałów niewerbalnych</w:t>
            </w:r>
          </w:p>
        </w:tc>
        <w:tc>
          <w:tcPr>
            <w:tcW w:w="133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 w:val="false"/>
                <w:bCs w:val="false"/>
                <w:lang w:eastAsia="en-US"/>
              </w:rPr>
            </w:pPr>
            <w:r>
              <w:rPr>
                <w:rFonts w:eastAsia="Calibri"/>
                <w:b w:val="false"/>
                <w:bCs w:val="false"/>
                <w:lang w:eastAsia="en-US"/>
              </w:rPr>
              <w:t>4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5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TK_2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Wybrane aspekty komunikacji bezpośredniej - rola sygnałów werbalnych</w:t>
            </w:r>
          </w:p>
        </w:tc>
        <w:tc>
          <w:tcPr>
            <w:tcW w:w="133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 w:val="false"/>
                <w:bCs w:val="false"/>
                <w:lang w:eastAsia="en-US"/>
              </w:rPr>
            </w:pPr>
            <w:r>
              <w:rPr>
                <w:rFonts w:eastAsia="Calibri"/>
                <w:b w:val="false"/>
                <w:bCs w:val="false"/>
                <w:lang w:eastAsia="en-US"/>
              </w:rPr>
              <w:t>4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5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TK_3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59"/>
              <w:jc w:val="left"/>
              <w:rPr>
                <w:rFonts w:ascii="Times New Roman" w:hAnsi="Times New Roman" w:eastAsia="Times New Roman" w:cs="Times New Roman"/>
                <w:i/>
                <w:i/>
                <w:iCs/>
                <w:color w:themeColor="text1" w:val="000000"/>
                <w:sz w:val="24"/>
                <w:szCs w:val="24"/>
                <w:lang w:val="pl-PL"/>
              </w:rPr>
            </w:pPr>
            <w:r>
              <w:rPr>
                <w:rFonts w:eastAsia="Times New Roman" w:cs="Times New Roman"/>
                <w:i/>
                <w:iCs/>
                <w:color w:themeColor="text1" w:val="000000"/>
                <w:sz w:val="24"/>
                <w:szCs w:val="24"/>
                <w:lang w:val="pl-PL"/>
              </w:rPr>
              <w:t>Umiejętność identyfikacji potrzeb klienta i wsłuchiwania się w jego zdanie - ćwiczenie na zasadach debaty</w:t>
            </w:r>
          </w:p>
        </w:tc>
        <w:tc>
          <w:tcPr>
            <w:tcW w:w="133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 w:val="false"/>
                <w:bCs w:val="false"/>
                <w:lang w:eastAsia="en-US"/>
              </w:rPr>
            </w:pPr>
            <w:r>
              <w:rPr>
                <w:rFonts w:eastAsia="Calibri"/>
                <w:b w:val="false"/>
                <w:bCs w:val="false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5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8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Zalecana literatura:</w:t>
            </w:r>
          </w:p>
        </w:tc>
        <w:tc>
          <w:tcPr>
            <w:tcW w:w="5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8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Literatura podstawowa</w:t>
            </w:r>
          </w:p>
        </w:tc>
        <w:tc>
          <w:tcPr>
            <w:tcW w:w="5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0058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val="fr-FR" w:eastAsia="en-US"/>
              </w:rPr>
            </w:pPr>
            <w:r>
              <w:rPr>
                <w:rFonts w:eastAsia="Calibri"/>
                <w:lang w:val="fr-FR" w:eastAsia="en-US"/>
              </w:rPr>
              <w:t xml:space="preserve">1. Tworzydło D.: </w:t>
            </w:r>
            <w:r>
              <w:rPr>
                <w:rFonts w:eastAsia="Calibri"/>
                <w:i/>
                <w:iCs/>
                <w:lang w:val="fr-FR" w:eastAsia="en-US"/>
              </w:rPr>
              <w:t>Public Relations. Praktyka komunikowania 3.0</w:t>
            </w:r>
            <w:r>
              <w:rPr>
                <w:rFonts w:eastAsia="Calibri"/>
                <w:i w:val="false"/>
                <w:iCs w:val="false"/>
                <w:lang w:val="fr-FR" w:eastAsia="en-US"/>
              </w:rPr>
              <w:t>; Wyd. Naukowe PWN, Warszawa 2023</w:t>
            </w:r>
          </w:p>
        </w:tc>
        <w:tc>
          <w:tcPr>
            <w:tcW w:w="5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8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Literatura uzupełniająca</w:t>
            </w:r>
          </w:p>
        </w:tc>
        <w:tc>
          <w:tcPr>
            <w:tcW w:w="5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0058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1. Van Edwards V.: </w:t>
            </w:r>
            <w:r>
              <w:rPr>
                <w:rFonts w:eastAsia="Calibri"/>
                <w:i/>
                <w:iCs/>
                <w:lang w:eastAsia="en-US"/>
              </w:rPr>
              <w:t>Sekretny język komunikacji. Jak odczytywać i przekazywać sygnały werbalne i niewerbalne</w:t>
            </w:r>
            <w:r>
              <w:rPr>
                <w:rFonts w:eastAsia="Calibri"/>
                <w:i w:val="false"/>
                <w:iCs w:val="false"/>
                <w:lang w:eastAsia="en-US"/>
              </w:rPr>
              <w:t>; wyd. MT Biznes, Warszawa 2023</w:t>
            </w:r>
          </w:p>
        </w:tc>
        <w:tc>
          <w:tcPr>
            <w:tcW w:w="5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0058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2. Budzyński W.: </w:t>
            </w:r>
            <w:r>
              <w:rPr>
                <w:rFonts w:eastAsia="Calibri"/>
                <w:i/>
                <w:iCs/>
                <w:lang w:eastAsia="en-US"/>
              </w:rPr>
              <w:t>Public Realtions. Wizerunek. Reputacja. Tożsamość</w:t>
            </w:r>
            <w:r>
              <w:rPr>
                <w:rFonts w:eastAsia="Calibri"/>
                <w:i w:val="false"/>
                <w:iCs w:val="false"/>
                <w:lang w:eastAsia="en-US"/>
              </w:rPr>
              <w:t>; wyd. Poltex, Warszawa 2018</w:t>
            </w:r>
          </w:p>
        </w:tc>
        <w:tc>
          <w:tcPr>
            <w:tcW w:w="5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8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Nakład pracy studenta</w:t>
            </w:r>
          </w:p>
        </w:tc>
        <w:tc>
          <w:tcPr>
            <w:tcW w:w="5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584" w:hRule="atLeast"/>
        </w:trPr>
        <w:tc>
          <w:tcPr>
            <w:tcW w:w="462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Forma nakładu pracy studenta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(udział w zajęciach, aktywność, przygotowanie sprawozdania, itp.)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Obciążenie studenta [h]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</w:tr>
      <w:tr>
        <w:trPr>
          <w:trHeight w:val="584" w:hRule="atLeast"/>
        </w:trPr>
        <w:tc>
          <w:tcPr>
            <w:tcW w:w="4624" w:type="dxa"/>
            <w:gridSpan w:val="2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 ocenie (opinii) nauczyciela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Godziny kontaktowe z nauczycielem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E-learning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do ćwiczeń/seminarium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Czytanie wskazanej literatury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prac pisemnych (zadań)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15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do kolokwium/kartkówki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do testu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Sumaryczne obciążenie pracy studenta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55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Punkty ECTS</w:t>
            </w:r>
          </w:p>
        </w:tc>
        <w:tc>
          <w:tcPr>
            <w:tcW w:w="5434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5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8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Uwagi</w:t>
            </w:r>
          </w:p>
        </w:tc>
        <w:tc>
          <w:tcPr>
            <w:tcW w:w="5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8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FORMA ZALICZENIA: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Times New Roman" w:cs="Times New Roman"/>
                <w:b/>
                <w:bCs/>
                <w:color w:themeColor="text1" w:val="000000"/>
                <w:sz w:val="24"/>
                <w:szCs w:val="24"/>
                <w:lang w:val="pl-PL"/>
              </w:rPr>
              <w:t xml:space="preserve">Praca samodzielna studenta – </w:t>
            </w:r>
            <w:r>
              <w:rPr>
                <w:rFonts w:eastAsia="Times New Roman" w:cs="Times New Roman"/>
                <w:b w:val="false"/>
                <w:bCs w:val="false"/>
                <w:color w:themeColor="text1" w:val="000000"/>
                <w:sz w:val="24"/>
                <w:szCs w:val="24"/>
                <w:lang w:val="pl-PL"/>
              </w:rPr>
              <w:t>wykonanie zadań na podstawie udostępnionych przez wykładowcę na platformie e-learningowej materiałów dydaktycznych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Times New Roman" w:cs="Times New Roman"/>
                <w:b/>
                <w:bCs/>
                <w:color w:themeColor="text1" w:val="000000"/>
                <w:sz w:val="24"/>
                <w:szCs w:val="24"/>
                <w:lang w:val="pl-PL"/>
              </w:rPr>
              <w:t>Obecność i aktywne uczestniczenie w seminariach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WARUNEK ZALICZENIA:</w:t>
            </w:r>
          </w:p>
          <w:p>
            <w:pPr>
              <w:pStyle w:val="ListParagraph"/>
              <w:numPr>
                <w:ilvl w:val="0"/>
                <w:numId w:val="3"/>
              </w:numPr>
              <w:spacing w:lineRule="auto" w:line="240" w:beforeAutospacing="0" w:before="240" w:afterAutospacing="0" w:after="240"/>
              <w:contextualSpacing/>
              <w:jc w:val="left"/>
              <w:rPr>
                <w:rFonts w:ascii="Times New Roman" w:hAnsi="Times New Roman" w:eastAsia="Times New Roman" w:cs="Times New Roman"/>
                <w:color w:themeColor="text1" w:val="000000"/>
                <w:sz w:val="24"/>
                <w:szCs w:val="24"/>
                <w:lang w:val="pl-PL"/>
              </w:rPr>
            </w:pPr>
            <w:r>
              <w:rPr>
                <w:rFonts w:eastAsia="Times New Roman" w:cs="Times New Roman"/>
                <w:color w:themeColor="text1" w:val="000000"/>
                <w:sz w:val="24"/>
                <w:szCs w:val="24"/>
                <w:lang w:val="pl-PL"/>
              </w:rPr>
              <w:t>Terminowe przesłanie wykonanych zadań i pozytywna ocena pracy studenta wystawiana na podstawie przedstawionych na platformie e-learningowej wytycznych,</w:t>
            </w:r>
          </w:p>
          <w:p>
            <w:pPr>
              <w:pStyle w:val="ListParagraph"/>
              <w:numPr>
                <w:ilvl w:val="0"/>
                <w:numId w:val="2"/>
              </w:numPr>
              <w:spacing w:beforeAutospacing="0" w:before="240" w:afterAutospacing="0" w:after="240"/>
              <w:contextualSpacing/>
              <w:rPr>
                <w:rFonts w:ascii="Times New Roman" w:hAnsi="Times New Roman" w:eastAsia="Times New Roman" w:cs="Times New Roman"/>
                <w:color w:themeColor="text1" w:val="000000"/>
                <w:sz w:val="24"/>
                <w:szCs w:val="24"/>
                <w:lang w:val="pl-PL"/>
              </w:rPr>
            </w:pPr>
            <w:r>
              <w:rPr>
                <w:rFonts w:eastAsia="Times New Roman" w:cs="Times New Roman"/>
                <w:color w:themeColor="text1" w:val="000000"/>
                <w:sz w:val="24"/>
                <w:szCs w:val="24"/>
                <w:lang w:val="pl-PL"/>
              </w:rPr>
              <w:t>aktywne uczestnictwo w pracach grupowych i indywidualnych podczas zajęć,</w:t>
            </w:r>
          </w:p>
          <w:p>
            <w:pPr>
              <w:pStyle w:val="ListParagraph"/>
              <w:numPr>
                <w:ilvl w:val="0"/>
                <w:numId w:val="1"/>
              </w:numPr>
              <w:spacing w:beforeAutospacing="0" w:before="240" w:afterAutospacing="0" w:after="240"/>
              <w:contextualSpacing/>
              <w:rPr>
                <w:rFonts w:ascii="Times New Roman" w:hAnsi="Times New Roman" w:eastAsia="Times New Roman" w:cs="Times New Roman"/>
                <w:color w:themeColor="text1" w:val="000000"/>
                <w:sz w:val="24"/>
                <w:szCs w:val="24"/>
                <w:lang w:val="pl-PL"/>
              </w:rPr>
            </w:pPr>
            <w:r>
              <w:rPr>
                <w:rFonts w:eastAsia="Times New Roman" w:cs="Times New Roman"/>
                <w:color w:themeColor="text1" w:val="000000"/>
                <w:sz w:val="24"/>
                <w:szCs w:val="24"/>
                <w:lang w:val="pl-PL"/>
              </w:rPr>
              <w:t xml:space="preserve">obecność na wszystkich zajęciach lub usprawiedliwienie oraz nadrobienie </w:t>
            </w:r>
            <w:r>
              <w:rPr/>
              <w:tab/>
            </w:r>
            <w:r>
              <w:rPr>
                <w:rFonts w:eastAsia="Times New Roman" w:cs="Times New Roman"/>
                <w:color w:themeColor="text1" w:val="000000"/>
                <w:sz w:val="24"/>
                <w:szCs w:val="24"/>
                <w:lang w:val="pl-PL"/>
              </w:rPr>
              <w:t xml:space="preserve">nieobecności (w sposób określony przez wykładowcę) </w:t>
            </w:r>
            <w:r>
              <w:rPr>
                <w:rFonts w:eastAsia="Times New Roman" w:cs="Times New Roman"/>
                <w:b/>
                <w:bCs/>
                <w:color w:themeColor="text1" w:val="000000"/>
                <w:sz w:val="24"/>
                <w:szCs w:val="24"/>
                <w:lang w:val="pl-PL"/>
              </w:rPr>
              <w:t>–</w:t>
            </w:r>
            <w:r>
              <w:rPr>
                <w:rFonts w:eastAsia="Times New Roman" w:cs="Times New Roman"/>
                <w:color w:themeColor="text1" w:val="000000"/>
                <w:sz w:val="24"/>
                <w:szCs w:val="24"/>
                <w:lang w:val="pl-PL"/>
              </w:rPr>
              <w:t xml:space="preserve"> zgodnie z Regulaminem studiów PUM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5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</w:tbl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*Przykładowe sposoby weryfikacji efektów kształcenia: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EP – egzamin pisemny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EU - egzamin ustny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ET – egzamin testowy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EPR – egzamin praktyczny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K – kolokwium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R – referat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S – sprawdzenie umiejętności praktycznych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RZĆ – raport z ćwiczeń z dyskusją wyników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O - ocena aktywności i postawy studenta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SL - sprawozdanie laboratoryjne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SP – studium przypadku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PS - ocena umiejętności pracy samodzielnej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W – kartkówka przed rozpoczęciem zajęć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PM – prezentacja multimedialna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i inne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sectPr>
      <w:footerReference w:type="default" r:id="rId5"/>
      <w:type w:val="nextPage"/>
      <w:pgSz w:w="11906" w:h="16838"/>
      <w:pgMar w:left="851" w:right="991" w:gutter="0" w:header="0" w:top="567" w:footer="82" w:bottom="567"/>
      <w:pgNumType w:fmt="decimal"/>
      <w:formProt w:val="false"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ee"/>
    <w:family w:val="roman"/>
    <w:pitch w:val="variable"/>
  </w:font>
  <w:font w:name="Times New Roman">
    <w:charset w:val="ee"/>
    <w:family w:val="roman"/>
    <w:pitch w:val="variable"/>
  </w:font>
  <w:font w:name="Tahoma">
    <w:charset w:val="ee"/>
    <w:family w:val="roman"/>
    <w:pitch w:val="variable"/>
  </w:font>
  <w:font w:name="Liberation Sans">
    <w:altName w:val="Arial"/>
    <w:charset w:val="ee"/>
    <w:family w:val="roman"/>
    <w:pitch w:val="variable"/>
  </w:font>
  <w:font w:name="Arial">
    <w:charset w:val="ee"/>
    <w:family w:val="roman"/>
    <w:pitch w:val="variable"/>
  </w:font>
  <w:font w:name="Aptos">
    <w:charset w:val="01"/>
    <w:family w:val="auto"/>
    <w:pitch w:val="default"/>
  </w:font>
  <w:font w:name="Courier New">
    <w:charset w:val="01"/>
    <w:family w:val="modern"/>
    <w:pitch w:val="fixed"/>
  </w:font>
  <w:font w:name="Wingdings">
    <w:charset w:val="02"/>
    <w:family w:val="auto"/>
    <w:pitch w:val="variable"/>
  </w:font>
  <w:font w:name="Times New Roman">
    <w:charset w:val="01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>
        <w:sz w:val="16"/>
      </w:rPr>
    </w:pPr>
    <w:r>
      <w:rPr>
        <w:sz w:val="16"/>
      </w:rPr>
    </w:r>
  </w:p>
  <w:p>
    <w:pPr>
      <w:pStyle w:val="Footer"/>
      <w:jc w:val="right"/>
      <w:rPr>
        <w:sz w:val="16"/>
      </w:rPr>
    </w:pPr>
    <w:r>
      <w:rPr>
        <w:sz w:val="16"/>
      </w:rPr>
      <w:t xml:space="preserve">Strona </w:t>
    </w:r>
    <w:r>
      <w:rPr>
        <w:b/>
        <w:sz w:val="16"/>
      </w:rPr>
      <w:fldChar w:fldCharType="begin"/>
    </w:r>
    <w:r>
      <w:rPr>
        <w:sz w:val="16"/>
        <w:b/>
      </w:rPr>
      <w:instrText xml:space="preserve"> PAGE </w:instrText>
    </w:r>
    <w:r>
      <w:rPr>
        <w:sz w:val="16"/>
        <w:b/>
      </w:rPr>
      <w:fldChar w:fldCharType="separate"/>
    </w:r>
    <w:r>
      <w:rPr>
        <w:sz w:val="16"/>
        <w:b/>
      </w:rPr>
      <w:t>4</w:t>
    </w:r>
    <w:r>
      <w:rPr>
        <w:sz w:val="16"/>
        <w:b/>
      </w:rPr>
      <w:fldChar w:fldCharType="end"/>
    </w:r>
    <w:r>
      <w:rPr>
        <w:sz w:val="16"/>
      </w:rPr>
      <w:t xml:space="preserve"> z </w:t>
    </w:r>
    <w:r>
      <w:rPr>
        <w:b/>
        <w:sz w:val="16"/>
      </w:rPr>
      <w:fldChar w:fldCharType="begin"/>
    </w:r>
    <w:r>
      <w:rPr>
        <w:sz w:val="16"/>
        <w:b/>
      </w:rPr>
      <w:instrText xml:space="preserve"> NUMPAGES </w:instrText>
    </w:r>
    <w:r>
      <w:rPr>
        <w:sz w:val="16"/>
        <w:b/>
      </w:rPr>
      <w:fldChar w:fldCharType="separate"/>
    </w:r>
    <w:r>
      <w:rPr>
        <w:sz w:val="16"/>
        <w:b/>
      </w:rPr>
      <w:t>4</w:t>
    </w:r>
    <w:r>
      <w:rPr>
        <w:sz w:val="16"/>
        <w:b/>
      </w:rPr>
      <w:fldChar w:fldCharType="end"/>
    </w:r>
  </w:p>
</w:ft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ptos" w:hAnsi="Aptos" w:cs="Apto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"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ptos" w:hAnsi="Aptos" w:cs="Apto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"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ptos" w:hAnsi="Aptos" w:cs="Apto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4">
    <w:lvl w:ilvl="0">
      <w:start w:val="1"/>
      <w:numFmt w:val="bullet"/>
      <w:lvlText w:val="□"/>
      <w:lvlJc w:val="center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5">
    <w:lvl w:ilvl="0">
      <w:start w:val="1"/>
      <w:numFmt w:val="bullet"/>
      <w:lvlText w:val="□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6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</w:numbering>
</file>

<file path=word/settings.xml><?xml version="1.0" encoding="utf-8"?>
<w:settings xmlns:w="http://schemas.openxmlformats.org/wordprocessingml/2006/main">
  <w:zoom w:percent="130"/>
  <w:embedSystemFonts/>
  <w:defaultTabStop w:val="708"/>
  <w:autoHyphenation w:val="true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themeFontLang w:val="pl-PL" w:eastAsia="ja-JP" w:bidi="ar-SA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Times New Roman" w:cs="Times New Roman"/>
        <w:lang w:val="pl-PL" w:eastAsia="ja-JP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c567b9"/>
    <w:pPr>
      <w:widowControl/>
      <w:suppressAutoHyphens w:val="true"/>
      <w:bidi w:val="0"/>
      <w:spacing w:before="0" w:after="0"/>
      <w:jc w:val="lef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pl-PL" w:eastAsia="pl-PL" w:bidi="ar-SA"/>
    </w:rPr>
  </w:style>
  <w:style w:type="paragraph" w:styleId="Heading1">
    <w:name w:val="Heading 1"/>
    <w:basedOn w:val="Normal"/>
    <w:next w:val="Normal"/>
    <w:link w:val="Nagwek1Znak"/>
    <w:qFormat/>
    <w:pPr>
      <w:keepNext w:val="true"/>
      <w:outlineLvl w:val="0"/>
    </w:pPr>
    <w:rPr>
      <w:b/>
      <w:bCs/>
    </w:rPr>
  </w:style>
  <w:style w:type="character" w:styleId="DefaultParagraphFont" w:default="1">
    <w:name w:val="Default Paragraph Font"/>
    <w:uiPriority w:val="1"/>
    <w:unhideWhenUsed/>
    <w:qFormat/>
    <w:rPr/>
  </w:style>
  <w:style w:type="character" w:styleId="Hyperlink">
    <w:name w:val="Hyperlink"/>
    <w:uiPriority w:val="99"/>
    <w:unhideWhenUsed/>
    <w:rsid w:val="00ef78c4"/>
    <w:rPr>
      <w:strike w:val="false"/>
      <w:dstrike w:val="false"/>
      <w:color w:val="BE0404"/>
      <w:u w:val="none"/>
      <w:effect w:val="none"/>
    </w:rPr>
  </w:style>
  <w:style w:type="character" w:styleId="Annotationreference">
    <w:name w:val="annotation reference"/>
    <w:uiPriority w:val="99"/>
    <w:semiHidden/>
    <w:unhideWhenUsed/>
    <w:qFormat/>
    <w:rsid w:val="00c02770"/>
    <w:rPr>
      <w:sz w:val="16"/>
      <w:szCs w:val="16"/>
    </w:rPr>
  </w:style>
  <w:style w:type="character" w:styleId="TekstkomentarzaZnak" w:customStyle="1">
    <w:name w:val="Tekst komentarza Znak"/>
    <w:basedOn w:val="DefaultParagraphFont"/>
    <w:link w:val="Annotationtext"/>
    <w:uiPriority w:val="99"/>
    <w:semiHidden/>
    <w:qFormat/>
    <w:rsid w:val="00c02770"/>
    <w:rPr/>
  </w:style>
  <w:style w:type="character" w:styleId="TematkomentarzaZnak" w:customStyle="1">
    <w:name w:val="Temat komentarza Znak"/>
    <w:link w:val="Annotationsubject"/>
    <w:uiPriority w:val="99"/>
    <w:semiHidden/>
    <w:qFormat/>
    <w:rsid w:val="00c02770"/>
    <w:rPr>
      <w:b/>
      <w:bCs/>
    </w:rPr>
  </w:style>
  <w:style w:type="character" w:styleId="TekstdymkaZnak" w:customStyle="1">
    <w:name w:val="Tekst dymka Znak"/>
    <w:link w:val="BalloonText"/>
    <w:uiPriority w:val="99"/>
    <w:semiHidden/>
    <w:qFormat/>
    <w:rsid w:val="00c02770"/>
    <w:rPr>
      <w:rFonts w:ascii="Tahoma" w:hAnsi="Tahoma" w:cs="Tahoma"/>
      <w:sz w:val="16"/>
      <w:szCs w:val="16"/>
    </w:rPr>
  </w:style>
  <w:style w:type="character" w:styleId="TekstprzypisudolnegoZnak" w:customStyle="1">
    <w:name w:val="Tekst przypisu dolnego Znak"/>
    <w:basedOn w:val="DefaultParagraphFont"/>
    <w:uiPriority w:val="99"/>
    <w:semiHidden/>
    <w:qFormat/>
    <w:rsid w:val="00190dc4"/>
    <w:rPr/>
  </w:style>
  <w:style w:type="character" w:styleId="Znakiprzypiswdolnych">
    <w:name w:val="Znaki przypisów dolnych"/>
    <w:uiPriority w:val="99"/>
    <w:semiHidden/>
    <w:unhideWhenUsed/>
    <w:qFormat/>
    <w:rsid w:val="00190dc4"/>
    <w:rPr>
      <w:vertAlign w:val="superscript"/>
    </w:rPr>
  </w:style>
  <w:style w:type="character" w:styleId="FootnoteReference">
    <w:name w:val="Footnote Reference"/>
    <w:rPr>
      <w:vertAlign w:val="superscript"/>
    </w:rPr>
  </w:style>
  <w:style w:type="character" w:styleId="Nagwek1Znak" w:customStyle="1">
    <w:name w:val="Nagłówek 1 Znak"/>
    <w:qFormat/>
    <w:rsid w:val="00190dc4"/>
    <w:rPr>
      <w:b/>
      <w:bCs/>
      <w:sz w:val="24"/>
      <w:szCs w:val="24"/>
    </w:rPr>
  </w:style>
  <w:style w:type="character" w:styleId="NagwekZnak" w:customStyle="1">
    <w:name w:val="Nagłówek Znak"/>
    <w:uiPriority w:val="99"/>
    <w:qFormat/>
    <w:rsid w:val="00146b7d"/>
    <w:rPr>
      <w:sz w:val="24"/>
      <w:szCs w:val="24"/>
    </w:rPr>
  </w:style>
  <w:style w:type="character" w:styleId="StopkaZnak" w:customStyle="1">
    <w:name w:val="Stopka Znak"/>
    <w:uiPriority w:val="99"/>
    <w:qFormat/>
    <w:rsid w:val="00146b7d"/>
    <w:rPr>
      <w:sz w:val="24"/>
      <w:szCs w:val="24"/>
    </w:rPr>
  </w:style>
  <w:style w:type="character" w:styleId="TekstprzypisukocowegoZnak" w:customStyle="1">
    <w:name w:val="Tekst przypisu końcowego Znak"/>
    <w:basedOn w:val="DefaultParagraphFont"/>
    <w:uiPriority w:val="99"/>
    <w:semiHidden/>
    <w:qFormat/>
    <w:rsid w:val="00942aac"/>
    <w:rPr/>
  </w:style>
  <w:style w:type="character" w:styleId="Znakiprzypiswkocowych">
    <w:name w:val="Znaki przypisów końcowych"/>
    <w:uiPriority w:val="99"/>
    <w:semiHidden/>
    <w:unhideWhenUsed/>
    <w:qFormat/>
    <w:rsid w:val="00942aac"/>
    <w:rPr>
      <w:vertAlign w:val="superscript"/>
    </w:rPr>
  </w:style>
  <w:style w:type="character" w:styleId="EndnoteReference">
    <w:name w:val="Endnote Reference"/>
    <w:rPr>
      <w:vertAlign w:val="superscript"/>
    </w:rPr>
  </w:style>
  <w:style w:type="character" w:styleId="UnresolvedMention">
    <w:name w:val="Unresolved Mention"/>
    <w:uiPriority w:val="99"/>
    <w:semiHidden/>
    <w:unhideWhenUsed/>
    <w:qFormat/>
    <w:rsid w:val="00c162a4"/>
    <w:rPr>
      <w:color w:val="605E5C"/>
      <w:shd w:fill="E1DFDD" w:val="clear"/>
    </w:rPr>
  </w:style>
  <w:style w:type="paragraph" w:styleId="Nagwek">
    <w:name w:val="Nagłówek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BodyText">
    <w:name w:val="Body Text"/>
    <w:basedOn w:val="Normal"/>
    <w:pPr>
      <w:spacing w:lineRule="auto" w:line="192"/>
    </w:pPr>
    <w:rPr>
      <w:rFonts w:ascii="Arial" w:hAnsi="Arial" w:cs="Arial"/>
      <w:sz w:val="28"/>
      <w:szCs w:val="20"/>
    </w:rPr>
  </w:style>
  <w:style w:type="paragraph" w:styleId="List">
    <w:name w:val="List"/>
    <w:basedOn w:val="BodyText"/>
    <w:pPr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Lucida Sans"/>
    </w:rPr>
  </w:style>
  <w:style w:type="paragraph" w:styleId="BodyTextIndent">
    <w:name w:val="Body Text Indent"/>
    <w:basedOn w:val="Normal"/>
    <w:pPr>
      <w:spacing w:lineRule="auto" w:line="192"/>
      <w:ind w:left="360"/>
    </w:pPr>
    <w:rPr>
      <w:rFonts w:ascii="Arial" w:hAnsi="Arial" w:cs="Arial"/>
      <w:sz w:val="28"/>
      <w:szCs w:val="20"/>
    </w:rPr>
  </w:style>
  <w:style w:type="paragraph" w:styleId="NormalWeb">
    <w:name w:val="Normal (Web)"/>
    <w:basedOn w:val="Normal"/>
    <w:uiPriority w:val="99"/>
    <w:qFormat/>
    <w:rsid w:val="00e30deb"/>
    <w:pPr>
      <w:spacing w:beforeAutospacing="1" w:afterAutospacing="1"/>
    </w:pPr>
    <w:rPr/>
  </w:style>
  <w:style w:type="paragraph" w:styleId="Annotationtext">
    <w:name w:val="annotation text"/>
    <w:basedOn w:val="Normal"/>
    <w:link w:val="TekstkomentarzaZnak"/>
    <w:uiPriority w:val="99"/>
    <w:semiHidden/>
    <w:unhideWhenUsed/>
    <w:qFormat/>
    <w:rsid w:val="00c02770"/>
    <w:pPr/>
    <w:rPr>
      <w:sz w:val="20"/>
      <w:szCs w:val="20"/>
    </w:rPr>
  </w:style>
  <w:style w:type="paragraph" w:styleId="Annotationsubject">
    <w:name w:val="annotation subject"/>
    <w:basedOn w:val="Annotationtext"/>
    <w:next w:val="Annotationtext"/>
    <w:link w:val="TematkomentarzaZnak"/>
    <w:uiPriority w:val="99"/>
    <w:semiHidden/>
    <w:unhideWhenUsed/>
    <w:qFormat/>
    <w:rsid w:val="00c02770"/>
    <w:pPr/>
    <w:rPr>
      <w:b/>
      <w:bCs/>
    </w:rPr>
  </w:style>
  <w:style w:type="paragraph" w:styleId="BalloonText">
    <w:name w:val="Balloon Text"/>
    <w:basedOn w:val="Normal"/>
    <w:link w:val="TekstdymkaZnak"/>
    <w:uiPriority w:val="99"/>
    <w:semiHidden/>
    <w:unhideWhenUsed/>
    <w:qFormat/>
    <w:rsid w:val="00c02770"/>
    <w:pPr/>
    <w:rPr>
      <w:rFonts w:ascii="Tahoma" w:hAnsi="Tahoma"/>
      <w:sz w:val="16"/>
      <w:szCs w:val="16"/>
    </w:rPr>
  </w:style>
  <w:style w:type="paragraph" w:styleId="FootnoteText">
    <w:name w:val="Footnote Text"/>
    <w:basedOn w:val="Normal"/>
    <w:link w:val="TekstprzypisudolnegoZnak"/>
    <w:uiPriority w:val="99"/>
    <w:semiHidden/>
    <w:unhideWhenUsed/>
    <w:rsid w:val="00190dc4"/>
    <w:pPr/>
    <w:rPr>
      <w:sz w:val="20"/>
      <w:szCs w:val="20"/>
    </w:rPr>
  </w:style>
  <w:style w:type="paragraph" w:styleId="Gwkaistopka">
    <w:name w:val="Główka i stopka"/>
    <w:basedOn w:val="Normal"/>
    <w:qFormat/>
    <w:pPr/>
    <w:rPr/>
  </w:style>
  <w:style w:type="paragraph" w:styleId="Header">
    <w:name w:val="Header"/>
    <w:basedOn w:val="Normal"/>
    <w:link w:val="NagwekZnak"/>
    <w:uiPriority w:val="99"/>
    <w:unhideWhenUsed/>
    <w:rsid w:val="00146b7d"/>
    <w:pPr>
      <w:tabs>
        <w:tab w:val="clear" w:pos="708"/>
        <w:tab w:val="center" w:pos="4536" w:leader="none"/>
        <w:tab w:val="right" w:pos="9072" w:leader="none"/>
      </w:tabs>
    </w:pPr>
    <w:rPr/>
  </w:style>
  <w:style w:type="paragraph" w:styleId="Footer">
    <w:name w:val="Footer"/>
    <w:basedOn w:val="Normal"/>
    <w:link w:val="StopkaZnak"/>
    <w:uiPriority w:val="99"/>
    <w:unhideWhenUsed/>
    <w:rsid w:val="00146b7d"/>
    <w:pPr>
      <w:tabs>
        <w:tab w:val="clear" w:pos="708"/>
        <w:tab w:val="center" w:pos="4536" w:leader="none"/>
        <w:tab w:val="right" w:pos="9072" w:leader="none"/>
      </w:tabs>
    </w:pPr>
    <w:rPr/>
  </w:style>
  <w:style w:type="paragraph" w:styleId="EndnoteText">
    <w:name w:val="Endnote Text"/>
    <w:basedOn w:val="Normal"/>
    <w:link w:val="TekstprzypisukocowegoZnak"/>
    <w:uiPriority w:val="99"/>
    <w:semiHidden/>
    <w:unhideWhenUsed/>
    <w:rsid w:val="00942aac"/>
    <w:pPr/>
    <w:rPr>
      <w:sz w:val="20"/>
      <w:szCs w:val="20"/>
    </w:rPr>
  </w:style>
  <w:style w:type="paragraph" w:styleId="ListParagraph">
    <w:name w:val="List Paragraph"/>
    <w:basedOn w:val="Normal"/>
    <w:uiPriority w:val="34"/>
    <w:qFormat/>
    <w:rsid w:val="3fff7563"/>
    <w:pPr>
      <w:spacing w:before="0" w:after="0"/>
      <w:ind w:left="720"/>
      <w:contextualSpacing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Standardowy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oleObject" Target="embeddings/oleObject1.bin"/><Relationship Id="rId4" Type="http://schemas.openxmlformats.org/officeDocument/2006/relationships/image" Target="media/image2.wmf"/><Relationship Id="rId5" Type="http://schemas.openxmlformats.org/officeDocument/2006/relationships/footer" Target="footer1.xml"/><Relationship Id="rId6" Type="http://schemas.openxmlformats.org/officeDocument/2006/relationships/numbering" Target="numbering.xml"/><Relationship Id="rId7" Type="http://schemas.openxmlformats.org/officeDocument/2006/relationships/fontTable" Target="fontTable.xml"/><Relationship Id="rId8" Type="http://schemas.openxmlformats.org/officeDocument/2006/relationships/settings" Target="settings.xml"/><Relationship Id="rId9" Type="http://schemas.openxmlformats.org/officeDocument/2006/relationships/theme" Target="theme/theme1.xml"/><Relationship Id="rId10" Type="http://schemas.openxmlformats.org/officeDocument/2006/relationships/customXml" Target="../customXml/item1.xml"/><Relationship Id="rId11" Type="http://schemas.openxmlformats.org/officeDocument/2006/relationships/customXml" Target="../customXml/item2.xml"/><Relationship Id="rId12" Type="http://schemas.openxmlformats.org/officeDocument/2006/relationships/customXml" Target="../customXml/item3.xml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 pitchFamily="0" charset="1"/>
        <a:ea typeface=""/>
        <a:cs typeface=""/>
      </a:majorFont>
      <a:minorFont>
        <a:latin typeface="Calibri" panose="020F0502020204030204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_rels/item2.xml.rels><?xml version="1.0" encoding="UTF-8"?>
<Relationships xmlns="http://schemas.openxmlformats.org/package/2006/relationships"><Relationship Id="rId1" Type="http://schemas.openxmlformats.org/officeDocument/2006/relationships/customXmlProps" Target="itemProps2.xml"/>
</Relationships>
</file>

<file path=customXml/_rels/item3.xml.rels><?xml version="1.0" encoding="UTF-8"?>
<Relationships xmlns="http://schemas.openxmlformats.org/package/2006/relationships"><Relationship Id="rId1" Type="http://schemas.openxmlformats.org/officeDocument/2006/relationships/customXmlProps" Target="itemProps3.xml"/>
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689397B8C4AAF4189A18E80A80654D9" ma:contentTypeVersion="5" ma:contentTypeDescription="Utwórz nowy dokument." ma:contentTypeScope="" ma:versionID="0debe9759c2a2cb343042fd66e72a72b">
  <xsd:schema xmlns:xsd="http://www.w3.org/2001/XMLSchema" xmlns:xs="http://www.w3.org/2001/XMLSchema" xmlns:p="http://schemas.microsoft.com/office/2006/metadata/properties" xmlns:ns2="8c6066ec-3877-49a3-b10c-18a72d7ac718" xmlns:ns3="ddb6f9a8-8ab6-4529-a38f-becb8a5be8a1" targetNamespace="http://schemas.microsoft.com/office/2006/metadata/properties" ma:root="true" ma:fieldsID="0822d46b83362b463dbde8b694a5b118" ns2:_="" ns3:_="">
    <xsd:import namespace="8c6066ec-3877-49a3-b10c-18a72d7ac718"/>
    <xsd:import namespace="ddb6f9a8-8ab6-4529-a38f-becb8a5be8a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c6066ec-3877-49a3-b10c-18a72d7ac71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b6f9a8-8ab6-4529-a38f-becb8a5be8a1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5796B3-F011-4620-98DC-17FD60367FB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987FAAD-EBB6-4C2E-A962-2EBF78FCC7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c6066ec-3877-49a3-b10c-18a72d7ac718"/>
    <ds:schemaRef ds:uri="ddb6f9a8-8ab6-4529-a38f-becb8a5be8a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FBFD635-B8F0-4EDC-8663-890509AF6B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Application>LibreOffice/7.6.4.1$Windows_X86_64 LibreOffice_project/e19e193f88cd6c0525a17fb7a176ed8e6a3e2aa1</Application>
  <AppVersion>15.0000</AppVersion>
  <Pages>4</Pages>
  <Words>739</Words>
  <Characters>4874</Characters>
  <CharactersWithSpaces>5437</CharactersWithSpaces>
  <Paragraphs>199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2025-02-17T12:00:00Z</dcterms:created>
  <dc:creator>agh</dc:creator>
  <dc:description/>
  <dc:language>pl-PL</dc:language>
  <cp:lastModifiedBy/>
  <cp:lastPrinted>2019-03-28T19:35:00Z</cp:lastPrinted>
  <dcterms:modified xsi:type="dcterms:W3CDTF">2026-02-25T13:30:17Z</dcterms:modified>
  <cp:revision>9</cp:revision>
  <dc:subject/>
  <dc:title>ZARZĄDZENIE REKTORA nr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